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87B81" w:rsidP="7692AC55" w:rsidRDefault="00000000" w14:paraId="28B6D6C7" w14:textId="791869F9">
      <w:pPr>
        <w:pStyle w:val="Title"/>
        <w:spacing w:after="0" w:afterAutospacing="off"/>
        <w:rPr>
          <w:rFonts w:ascii="Times New Roman" w:hAnsi="Times New Roman" w:eastAsia="Times New Roman" w:cs="Times New Roman"/>
          <w:sz w:val="40"/>
          <w:szCs w:val="40"/>
        </w:rPr>
      </w:pPr>
      <w:r w:rsidRPr="3E302A46" w:rsidR="3E302A46">
        <w:rPr>
          <w:rFonts w:ascii="Times New Roman" w:hAnsi="Times New Roman" w:eastAsia="Times New Roman" w:cs="Times New Roman"/>
          <w:sz w:val="44"/>
          <w:szCs w:val="44"/>
        </w:rPr>
        <w:t>UB Consulting Group Membership Guidelines</w:t>
      </w:r>
    </w:p>
    <w:p w:rsidR="599BF468" w:rsidP="599BF468" w:rsidRDefault="599BF468" w14:paraId="5E1E93EE" w14:textId="7E593AA9">
      <w:pPr>
        <w:pStyle w:val="Heading1"/>
        <w:rPr>
          <w:rFonts w:ascii="Times New Roman" w:hAnsi="Times New Roman" w:eastAsia="Times New Roman" w:cs="Times New Roman"/>
          <w:sz w:val="28"/>
          <w:szCs w:val="28"/>
        </w:rPr>
      </w:pPr>
      <w:r w:rsidRPr="599BF468" w:rsidR="599BF468">
        <w:rPr>
          <w:rFonts w:ascii="Times New Roman" w:hAnsi="Times New Roman" w:eastAsia="Times New Roman" w:cs="Times New Roman"/>
          <w:sz w:val="28"/>
          <w:szCs w:val="28"/>
        </w:rPr>
        <w:t>Purpose</w:t>
      </w:r>
    </w:p>
    <w:p w:rsidR="00D87B81" w:rsidP="599BF468" w:rsidRDefault="00000000" w14:paraId="6C89AD50" w14:textId="77777777">
      <w:pPr>
        <w:jc w:val="both"/>
        <w:rPr>
          <w:rFonts w:ascii="Times New Roman" w:hAnsi="Times New Roman" w:eastAsia="Times New Roman" w:cs="Times New Roman"/>
        </w:rPr>
      </w:pPr>
      <w:r w:rsidRPr="599BF468" w:rsidR="599BF468">
        <w:rPr>
          <w:rFonts w:ascii="Times New Roman" w:hAnsi="Times New Roman" w:eastAsia="Times New Roman" w:cs="Times New Roman"/>
        </w:rPr>
        <w:t>The purpose of these guidelines is to ensure all members of the UB Consulting Group contribute meaningfully, uphold the group's standards, and maintain their status as members in good standing.</w:t>
      </w:r>
    </w:p>
    <w:p w:rsidR="00D87B81" w:rsidP="7692AC55" w:rsidRDefault="00000000" w14:paraId="78CAD8A9" w14:textId="77777777">
      <w:pPr>
        <w:pStyle w:val="Heading1"/>
        <w:spacing w:before="0" w:beforeAutospacing="off"/>
        <w:jc w:val="both"/>
        <w:rPr>
          <w:rFonts w:ascii="Times New Roman" w:hAnsi="Times New Roman" w:eastAsia="Times New Roman" w:cs="Times New Roman"/>
          <w:sz w:val="28"/>
          <w:szCs w:val="28"/>
        </w:rPr>
      </w:pPr>
      <w:r w:rsidRPr="7692AC55" w:rsidR="7692AC55">
        <w:rPr>
          <w:rFonts w:ascii="Times New Roman" w:hAnsi="Times New Roman" w:eastAsia="Times New Roman" w:cs="Times New Roman"/>
          <w:sz w:val="28"/>
          <w:szCs w:val="28"/>
        </w:rPr>
        <w:t>Membership Requirements</w:t>
      </w:r>
    </w:p>
    <w:p w:rsidRPr="00AC17E8" w:rsidR="00D87B81" w:rsidP="599BF468" w:rsidRDefault="00000000" w14:paraId="18E6BC50" w14:textId="77777777">
      <w:pPr>
        <w:pStyle w:val="Heading2"/>
        <w:jc w:val="both"/>
        <w:rPr>
          <w:rFonts w:ascii="Times New Roman" w:hAnsi="Times New Roman" w:eastAsia="Times New Roman" w:cs="Times New Roman"/>
          <w:b w:val="0"/>
          <w:bCs w:val="0"/>
        </w:rPr>
      </w:pPr>
      <w:r w:rsidRPr="599BF468" w:rsidR="599BF468">
        <w:rPr>
          <w:rFonts w:ascii="Times New Roman" w:hAnsi="Times New Roman" w:eastAsia="Times New Roman" w:cs="Times New Roman"/>
          <w:b w:val="0"/>
          <w:bCs w:val="0"/>
        </w:rPr>
        <w:t>Attendance at Bi-Weekly Meetings</w:t>
      </w:r>
    </w:p>
    <w:p w:rsidR="00D87B81" w:rsidP="599BF468" w:rsidRDefault="00000000" w14:paraId="66D318B6" w14:textId="7F23E3EC">
      <w:pPr>
        <w:jc w:val="both"/>
        <w:rPr>
          <w:rFonts w:ascii="Times New Roman" w:hAnsi="Times New Roman" w:eastAsia="Times New Roman" w:cs="Times New Roman"/>
        </w:rPr>
      </w:pPr>
      <w:r w:rsidRPr="7692AC55" w:rsidR="7692AC55">
        <w:rPr>
          <w:rFonts w:ascii="Times New Roman" w:hAnsi="Times New Roman" w:eastAsia="Times New Roman" w:cs="Times New Roman"/>
        </w:rPr>
        <w:t>Members must attend all bi-weekly meetings, one unexcused absence is permitted per semester. Additional absences will result in probationary status.</w:t>
      </w:r>
    </w:p>
    <w:p w:rsidR="4DEFC260" w:rsidP="599BF468" w:rsidRDefault="4DEFC260" w14:paraId="5864B0C5" w14:textId="1C14C972">
      <w:pPr>
        <w:pStyle w:val="Heading2"/>
        <w:suppressLineNumbers w:val="0"/>
        <w:bidi w:val="0"/>
        <w:spacing w:before="200" w:beforeAutospacing="off" w:after="0" w:afterAutospacing="off" w:line="276" w:lineRule="auto"/>
        <w:ind w:left="0" w:right="0"/>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Team Building Weekend</w:t>
      </w:r>
    </w:p>
    <w:p w:rsidR="00D87B81" w:rsidP="599BF468" w:rsidRDefault="00000000" w14:paraId="6A503E1D" w14:textId="39C62DFC">
      <w:pPr>
        <w:jc w:val="both"/>
        <w:rPr>
          <w:rFonts w:ascii="Times New Roman" w:hAnsi="Times New Roman" w:eastAsia="Times New Roman" w:cs="Times New Roman"/>
        </w:rPr>
      </w:pPr>
      <w:r w:rsidRPr="7692AC55" w:rsidR="7692AC55">
        <w:rPr>
          <w:rFonts w:ascii="Times New Roman" w:hAnsi="Times New Roman" w:eastAsia="Times New Roman" w:cs="Times New Roman"/>
        </w:rPr>
        <w:t>Encouraged attendance at the annual spring retreat. This retreat is a crucial part of team-building and strategic planning for the group. More information on specifics to come. If there is a financial barrier the member should discuss this with the leadership team.</w:t>
      </w:r>
    </w:p>
    <w:p w:rsidR="00D87B81" w:rsidP="599BF468" w:rsidRDefault="00000000" w14:paraId="236BC68A" w14:textId="77777777">
      <w:pPr>
        <w:pStyle w:val="Heading2"/>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RFP Session Promotion</w:t>
      </w:r>
    </w:p>
    <w:p w:rsidR="00D87B81" w:rsidP="599BF468" w:rsidRDefault="00000000" w14:paraId="78AC541A" w14:textId="4DA7F29A">
      <w:pPr>
        <w:jc w:val="both"/>
        <w:rPr>
          <w:rFonts w:ascii="Times New Roman" w:hAnsi="Times New Roman" w:eastAsia="Times New Roman" w:cs="Times New Roman"/>
        </w:rPr>
      </w:pPr>
      <w:r w:rsidRPr="7692AC55" w:rsidR="7692AC55">
        <w:rPr>
          <w:rFonts w:ascii="Times New Roman" w:hAnsi="Times New Roman" w:eastAsia="Times New Roman" w:cs="Times New Roman"/>
        </w:rPr>
        <w:t>Members must actively promote the Request for Proposals (RFP) sessions by posting on LinkedIn and other professional channels to encourage submissions. Promotion should be conducted during the designated RFP session periods, typically in July and January.</w:t>
      </w:r>
    </w:p>
    <w:p w:rsidR="2585BB2B" w:rsidP="599BF468" w:rsidRDefault="2585BB2B" w14:paraId="64B3566B" w14:textId="11319D45">
      <w:pPr>
        <w:pStyle w:val="Heading2"/>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Volunteering</w:t>
      </w:r>
    </w:p>
    <w:p w:rsidR="2585BB2B" w:rsidP="7692AC55" w:rsidRDefault="2585BB2B" w14:paraId="3F291B84" w14:textId="7A4540EF">
      <w:pPr>
        <w:pStyle w:val="Normal"/>
        <w:suppressLineNumbers w:val="0"/>
        <w:spacing w:before="0" w:beforeAutospacing="off" w:after="200" w:afterAutospacing="off" w:line="276" w:lineRule="auto"/>
        <w:ind w:left="0" w:right="0"/>
        <w:jc w:val="both"/>
        <w:rPr>
          <w:rFonts w:ascii="Times New Roman" w:hAnsi="Times New Roman" w:eastAsia="Times New Roman" w:cs="Times New Roman"/>
        </w:rPr>
      </w:pPr>
      <w:r w:rsidRPr="7692AC55" w:rsidR="7692AC55">
        <w:rPr>
          <w:rFonts w:ascii="Times New Roman" w:hAnsi="Times New Roman" w:eastAsia="Times New Roman" w:cs="Times New Roman"/>
        </w:rPr>
        <w:t>UB MBA Consulting Group 1</w:t>
      </w:r>
      <w:r w:rsidRPr="7692AC55" w:rsidR="7692AC55">
        <w:rPr>
          <w:rFonts w:ascii="Times New Roman" w:hAnsi="Times New Roman" w:eastAsia="Times New Roman" w:cs="Times New Roman"/>
          <w:vertAlign w:val="superscript"/>
        </w:rPr>
        <w:t>st</w:t>
      </w:r>
      <w:r w:rsidRPr="7692AC55" w:rsidR="7692AC55">
        <w:rPr>
          <w:rFonts w:ascii="Times New Roman" w:hAnsi="Times New Roman" w:eastAsia="Times New Roman" w:cs="Times New Roman"/>
        </w:rPr>
        <w:t xml:space="preserve"> year members are required to volunteer to work for a day during graduation weekend.  This “volunteering” helps finance the group’s activities. </w:t>
      </w:r>
    </w:p>
    <w:p w:rsidR="00D87B81" w:rsidP="599BF468" w:rsidRDefault="00000000" w14:paraId="06235D97" w14:textId="77777777">
      <w:pPr>
        <w:pStyle w:val="Heading2"/>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Academic Standing</w:t>
      </w:r>
    </w:p>
    <w:p w:rsidR="00D87B81" w:rsidP="599BF468" w:rsidRDefault="00000000" w14:paraId="15CA0BF3" w14:textId="3332704D">
      <w:pPr>
        <w:jc w:val="both"/>
        <w:rPr>
          <w:rFonts w:ascii="Times New Roman" w:hAnsi="Times New Roman" w:eastAsia="Times New Roman" w:cs="Times New Roman"/>
        </w:rPr>
      </w:pPr>
      <w:r w:rsidRPr="7692AC55" w:rsidR="7692AC55">
        <w:rPr>
          <w:rFonts w:ascii="Times New Roman" w:hAnsi="Times New Roman" w:eastAsia="Times New Roman" w:cs="Times New Roman"/>
        </w:rPr>
        <w:t>Members must maintain good academic standing as per the University at Buffalo's MBA guidelines. This ensures that members can effectively balance academic responsibilities with their consulting work.</w:t>
      </w:r>
    </w:p>
    <w:p w:rsidR="00D87B81" w:rsidP="599BF468" w:rsidRDefault="00000000" w14:paraId="0339358F" w14:textId="77777777">
      <w:pPr>
        <w:pStyle w:val="Heading2"/>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Active Participation in Projects</w:t>
      </w:r>
    </w:p>
    <w:p w:rsidR="00D87B81" w:rsidP="599BF468" w:rsidRDefault="00000000" w14:paraId="44C85EFA" w14:textId="1B0214C4">
      <w:pPr>
        <w:jc w:val="both"/>
        <w:rPr>
          <w:rFonts w:ascii="Times New Roman" w:hAnsi="Times New Roman" w:eastAsia="Times New Roman" w:cs="Times New Roman"/>
        </w:rPr>
      </w:pPr>
      <w:r w:rsidRPr="7692AC55" w:rsidR="7692AC55">
        <w:rPr>
          <w:rFonts w:ascii="Times New Roman" w:hAnsi="Times New Roman" w:eastAsia="Times New Roman" w:cs="Times New Roman"/>
        </w:rPr>
        <w:t>Members are expected to be actively engaged in their assigned consulting projects, contributing to the success of the team and the client. Deliverables should meet the high standards expected by the UB Consulting Group, reflecting well on both the individual and the organization.</w:t>
      </w:r>
    </w:p>
    <w:p w:rsidR="00D87B81" w:rsidP="599BF468" w:rsidRDefault="00000000" w14:paraId="55F08738" w14:textId="77777777">
      <w:pPr>
        <w:pStyle w:val="Heading2"/>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Professional Conduct</w:t>
      </w:r>
    </w:p>
    <w:p w:rsidR="00D87B81" w:rsidP="599BF468" w:rsidRDefault="00000000" w14:paraId="07805D7E" w14:textId="5DC4A446">
      <w:pPr>
        <w:jc w:val="both"/>
        <w:rPr>
          <w:rFonts w:ascii="Times New Roman" w:hAnsi="Times New Roman" w:eastAsia="Times New Roman" w:cs="Times New Roman"/>
        </w:rPr>
      </w:pPr>
      <w:r w:rsidRPr="7692AC55" w:rsidR="7692AC55">
        <w:rPr>
          <w:rFonts w:ascii="Times New Roman" w:hAnsi="Times New Roman" w:eastAsia="Times New Roman" w:cs="Times New Roman"/>
        </w:rPr>
        <w:t xml:space="preserve">Members must adhere to the highest standards of professional ethics and contribute to a positive team environment. Harassment, poor sportsmanship, and unprofessional behavior will not be tolerated.  Professionalism includes punctuality, members must adhere to timelines for meetings and project deliverables. Any lack of respect in the form of insults, threats, or any other form of aggressive behavior </w:t>
      </w:r>
      <w:r w:rsidRPr="7692AC55" w:rsidR="7692AC55">
        <w:rPr>
          <w:rFonts w:ascii="Times New Roman" w:hAnsi="Times New Roman" w:eastAsia="Times New Roman" w:cs="Times New Roman"/>
        </w:rPr>
        <w:t>is</w:t>
      </w:r>
      <w:r w:rsidRPr="7692AC55" w:rsidR="7692AC55">
        <w:rPr>
          <w:rFonts w:ascii="Times New Roman" w:hAnsi="Times New Roman" w:eastAsia="Times New Roman" w:cs="Times New Roman"/>
        </w:rPr>
        <w:t xml:space="preserve"> strictly prohibited and grounds for immediate disciplinary action.</w:t>
      </w:r>
    </w:p>
    <w:p w:rsidR="00D87B81" w:rsidP="599BF468" w:rsidRDefault="00000000" w14:paraId="628F5EB2" w14:textId="77777777">
      <w:pPr>
        <w:pStyle w:val="Heading2"/>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Membership Dues</w:t>
      </w:r>
    </w:p>
    <w:p w:rsidR="00D87B81" w:rsidP="599BF468" w:rsidRDefault="00000000" w14:paraId="3130CE26" w14:textId="780A3A10">
      <w:pPr>
        <w:jc w:val="both"/>
        <w:rPr>
          <w:rFonts w:ascii="Times New Roman" w:hAnsi="Times New Roman" w:eastAsia="Times New Roman" w:cs="Times New Roman"/>
        </w:rPr>
      </w:pPr>
      <w:r w:rsidRPr="7692AC55" w:rsidR="7692AC55">
        <w:rPr>
          <w:rFonts w:ascii="Times New Roman" w:hAnsi="Times New Roman" w:eastAsia="Times New Roman" w:cs="Times New Roman"/>
        </w:rPr>
        <w:t xml:space="preserve">Members are required to pay $20 membership dues before the start of each semester to maintain their status in the group. The timeline includes end of November for spring membership, and end of April for fall membership. Failure to submit dues will result in end of membership. Dues help cover operational costs and contribute to group activities and resources, and </w:t>
      </w:r>
      <w:r w:rsidRPr="7692AC55" w:rsidR="7692AC55">
        <w:rPr>
          <w:rFonts w:ascii="Times New Roman" w:hAnsi="Times New Roman" w:eastAsia="Times New Roman" w:cs="Times New Roman"/>
        </w:rPr>
        <w:t>advance</w:t>
      </w:r>
      <w:r w:rsidRPr="7692AC55" w:rsidR="7692AC55">
        <w:rPr>
          <w:rFonts w:ascii="Times New Roman" w:hAnsi="Times New Roman" w:eastAsia="Times New Roman" w:cs="Times New Roman"/>
        </w:rPr>
        <w:t xml:space="preserve"> payment helps plan future semesters.</w:t>
      </w:r>
    </w:p>
    <w:p w:rsidR="00D87B81" w:rsidP="599BF468" w:rsidRDefault="00000000" w14:paraId="38614878" w14:textId="77777777">
      <w:pPr>
        <w:pStyle w:val="Heading2"/>
        <w:jc w:val="both"/>
        <w:rPr>
          <w:rFonts w:ascii="Times New Roman" w:hAnsi="Times New Roman" w:eastAsia="Times New Roman" w:cs="Times New Roman"/>
          <w:b w:val="0"/>
          <w:bCs w:val="0"/>
        </w:rPr>
      </w:pPr>
      <w:r w:rsidRPr="7435FC16" w:rsidR="7435FC16">
        <w:rPr>
          <w:rFonts w:ascii="Times New Roman" w:hAnsi="Times New Roman" w:eastAsia="Times New Roman" w:cs="Times New Roman"/>
          <w:b w:val="0"/>
          <w:bCs w:val="0"/>
        </w:rPr>
        <w:t>Probation and Membership Review</w:t>
      </w:r>
    </w:p>
    <w:p w:rsidR="00D87B81" w:rsidP="599BF468" w:rsidRDefault="00000000" w14:paraId="0725F412" w14:textId="6BCA0C6C">
      <w:pPr>
        <w:jc w:val="both"/>
        <w:rPr>
          <w:rFonts w:ascii="Times New Roman" w:hAnsi="Times New Roman" w:eastAsia="Times New Roman" w:cs="Times New Roman"/>
        </w:rPr>
      </w:pPr>
      <w:r w:rsidRPr="7692AC55" w:rsidR="7692AC55">
        <w:rPr>
          <w:rFonts w:ascii="Times New Roman" w:hAnsi="Times New Roman" w:eastAsia="Times New Roman" w:cs="Times New Roman"/>
        </w:rPr>
        <w:t>Members who fail to meet the attendance, participation, or conduct requirements will be placed on probation. Members on probation will have their membership status reviewed by the leadership team. Continued non-compliance may result in loss of membership.</w:t>
      </w:r>
    </w:p>
    <w:p w:rsidR="7692AC55" w:rsidP="7692AC55" w:rsidRDefault="7692AC55" w14:paraId="130B8E1E">
      <w:pPr>
        <w:pStyle w:val="Heading1"/>
        <w:rPr>
          <w:rFonts w:ascii="Times New Roman" w:hAnsi="Times New Roman" w:eastAsia="Times New Roman" w:cs="Times New Roman"/>
          <w:b w:val="0"/>
          <w:bCs w:val="0"/>
        </w:rPr>
      </w:pPr>
      <w:r w:rsidRPr="7692AC55" w:rsidR="7692AC55">
        <w:rPr>
          <w:rFonts w:ascii="Times New Roman" w:hAnsi="Times New Roman" w:eastAsia="Times New Roman" w:cs="Times New Roman"/>
        </w:rPr>
        <w:t>Membership Eligibility</w:t>
      </w:r>
    </w:p>
    <w:p w:rsidR="7692AC55" w:rsidP="7692AC55" w:rsidRDefault="7692AC55" w14:paraId="51073C0A" w14:textId="594E3E35">
      <w:pPr>
        <w:jc w:val="both"/>
        <w:rPr>
          <w:rFonts w:ascii="Times New Roman" w:hAnsi="Times New Roman" w:eastAsia="Times New Roman" w:cs="Times New Roman"/>
        </w:rPr>
      </w:pPr>
      <w:r w:rsidRPr="7692AC55" w:rsidR="7692AC55">
        <w:rPr>
          <w:rFonts w:ascii="Times New Roman" w:hAnsi="Times New Roman" w:eastAsia="Times New Roman" w:cs="Times New Roman"/>
        </w:rPr>
        <w:t>To be eligible for UB MBA Consulting Group, prospective member must be full-time in-person MBA students at the University at Buffalo. This ensures that all members are fully engaged and able to contribute to the UB Consulting Group's activities.</w:t>
      </w:r>
    </w:p>
    <w:p w:rsidR="00D87B81" w:rsidP="7692AC55" w:rsidRDefault="00000000" w14:paraId="56110D29" w14:textId="77777777">
      <w:pPr>
        <w:pStyle w:val="Heading1"/>
        <w:spacing w:before="0" w:beforeAutospacing="off"/>
        <w:jc w:val="both"/>
        <w:rPr>
          <w:rFonts w:ascii="Times New Roman" w:hAnsi="Times New Roman" w:eastAsia="Times New Roman" w:cs="Times New Roman"/>
        </w:rPr>
      </w:pPr>
      <w:r w:rsidRPr="7692AC55" w:rsidR="7692AC55">
        <w:rPr>
          <w:rFonts w:ascii="Times New Roman" w:hAnsi="Times New Roman" w:eastAsia="Times New Roman" w:cs="Times New Roman"/>
        </w:rPr>
        <w:t>Acknowledgment</w:t>
      </w:r>
    </w:p>
    <w:p w:rsidR="00D87B81" w:rsidP="7692AC55" w:rsidRDefault="00000000" w14:paraId="03092FF1" w14:textId="0FE4E119">
      <w:pPr>
        <w:jc w:val="both"/>
        <w:rPr>
          <w:rFonts w:ascii="Times New Roman" w:hAnsi="Times New Roman" w:eastAsia="Times New Roman" w:cs="Times New Roman"/>
        </w:rPr>
      </w:pPr>
      <w:r w:rsidRPr="7692AC55" w:rsidR="7692AC55">
        <w:rPr>
          <w:rFonts w:ascii="Times New Roman" w:hAnsi="Times New Roman" w:eastAsia="Times New Roman" w:cs="Times New Roman"/>
        </w:rPr>
        <w:t>By signing below and becoming a member of the UB Consulting Group, you agree to adhere to these guidelines and actively contribute to the success of the group and its projects.</w:t>
      </w:r>
    </w:p>
    <w:p w:rsidR="00D87B81" w:rsidP="7692AC55" w:rsidRDefault="00000000" w14:paraId="011BC921" w14:textId="4524B374">
      <w:pPr>
        <w:pStyle w:val="Normal"/>
        <w:jc w:val="both"/>
        <w:rPr>
          <w:rFonts w:ascii="Times New Roman" w:hAnsi="Times New Roman" w:eastAsia="Times New Roman" w:cs="Times New Roman"/>
        </w:rPr>
      </w:pPr>
      <w:r>
        <w:br/>
      </w:r>
    </w:p>
    <w:p w:rsidR="00D87B81" w:rsidP="599BF468" w:rsidRDefault="00000000" w14:paraId="21FF9A82" w14:textId="77777777">
      <w:pPr>
        <w:rPr>
          <w:rFonts w:ascii="Times New Roman" w:hAnsi="Times New Roman" w:eastAsia="Times New Roman" w:cs="Times New Roman"/>
        </w:rPr>
      </w:pPr>
      <w:r w:rsidRPr="599BF468" w:rsidR="599BF468">
        <w:rPr>
          <w:rFonts w:ascii="Times New Roman" w:hAnsi="Times New Roman" w:eastAsia="Times New Roman" w:cs="Times New Roman"/>
        </w:rPr>
        <w:t>_________________________________________</w:t>
      </w:r>
      <w:r>
        <w:br/>
      </w:r>
      <w:r w:rsidRPr="599BF468" w:rsidR="599BF468">
        <w:rPr>
          <w:rFonts w:ascii="Times New Roman" w:hAnsi="Times New Roman" w:eastAsia="Times New Roman" w:cs="Times New Roman"/>
        </w:rPr>
        <w:t>Signature</w:t>
      </w:r>
    </w:p>
    <w:p w:rsidR="00D87B81" w:rsidP="599BF468" w:rsidRDefault="00000000" w14:paraId="65D72473" w14:textId="77777777">
      <w:pPr>
        <w:rPr>
          <w:rFonts w:ascii="Times New Roman" w:hAnsi="Times New Roman" w:eastAsia="Times New Roman" w:cs="Times New Roman"/>
        </w:rPr>
      </w:pPr>
      <w:r>
        <w:br/>
      </w:r>
    </w:p>
    <w:p w:rsidR="00D87B81" w:rsidP="7692AC55" w:rsidRDefault="00000000" w14:paraId="099E301A" w14:textId="54B55B3D">
      <w:pPr>
        <w:pStyle w:val="Normal"/>
        <w:rPr>
          <w:rFonts w:ascii="Times New Roman" w:hAnsi="Times New Roman" w:eastAsia="Times New Roman" w:cs="Times New Roman"/>
        </w:rPr>
      </w:pPr>
      <w:r w:rsidRPr="7692AC55" w:rsidR="7692AC55">
        <w:rPr>
          <w:rFonts w:ascii="Times New Roman" w:hAnsi="Times New Roman" w:eastAsia="Times New Roman" w:cs="Times New Roman"/>
        </w:rPr>
        <w:t>_________________________________________                                    ________________________</w:t>
      </w:r>
      <w:r>
        <w:br/>
      </w:r>
      <w:r w:rsidRPr="7692AC55" w:rsidR="7692AC55">
        <w:rPr>
          <w:rFonts w:ascii="Times New Roman" w:hAnsi="Times New Roman" w:eastAsia="Times New Roman" w:cs="Times New Roman"/>
        </w:rPr>
        <w:t>Print Name</w:t>
      </w:r>
      <w:r>
        <w:tab/>
      </w:r>
      <w:r>
        <w:tab/>
      </w:r>
      <w:r>
        <w:tab/>
      </w:r>
      <w:r>
        <w:tab/>
      </w:r>
      <w:r>
        <w:tab/>
      </w:r>
      <w:r>
        <w:tab/>
      </w:r>
      <w:r>
        <w:tab/>
      </w:r>
      <w:r w:rsidRPr="7692AC55" w:rsidR="7692AC55">
        <w:rPr>
          <w:rFonts w:ascii="Times New Roman" w:hAnsi="Times New Roman" w:eastAsia="Times New Roman" w:cs="Times New Roman"/>
        </w:rPr>
        <w:t xml:space="preserve">              Date</w:t>
      </w:r>
    </w:p>
    <w:sectPr w:rsidR="00D87B81" w:rsidSect="00034616">
      <w:pgSz w:w="12240" w:h="15840" w:orient="portrait"/>
      <w:pgMar w:top="1440" w:right="1440" w:bottom="1440" w:left="1440" w:header="720" w:footer="720" w:gutter="0"/>
      <w:cols w:space="720"/>
      <w:docGrid w:linePitch="360"/>
      <w:headerReference w:type="default" r:id="R8eeb9fb63fc14879"/>
      <w:footerReference w:type="default" r:id="Rd31bd490df1442a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E302A46" w:rsidTr="3E302A46" w14:paraId="736E3BE8">
      <w:trPr>
        <w:trHeight w:val="300"/>
      </w:trPr>
      <w:tc>
        <w:tcPr>
          <w:tcW w:w="3120" w:type="dxa"/>
          <w:tcMar/>
        </w:tcPr>
        <w:p w:rsidR="3E302A46" w:rsidP="3E302A46" w:rsidRDefault="3E302A46" w14:paraId="79A186AD" w14:textId="75A583FE">
          <w:pPr>
            <w:pStyle w:val="Header"/>
            <w:bidi w:val="0"/>
            <w:ind w:left="-115"/>
            <w:jc w:val="left"/>
          </w:pPr>
        </w:p>
      </w:tc>
      <w:tc>
        <w:tcPr>
          <w:tcW w:w="3120" w:type="dxa"/>
          <w:tcMar/>
        </w:tcPr>
        <w:p w:rsidR="3E302A46" w:rsidP="3E302A46" w:rsidRDefault="3E302A46" w14:paraId="4C4000A8" w14:textId="1C53AB7C">
          <w:pPr>
            <w:pStyle w:val="Header"/>
            <w:bidi w:val="0"/>
            <w:jc w:val="center"/>
          </w:pPr>
        </w:p>
      </w:tc>
      <w:tc>
        <w:tcPr>
          <w:tcW w:w="3120" w:type="dxa"/>
          <w:tcMar/>
        </w:tcPr>
        <w:p w:rsidR="3E302A46" w:rsidP="3E302A46" w:rsidRDefault="3E302A46" w14:paraId="37FEA175" w14:textId="744862A4">
          <w:pPr>
            <w:pStyle w:val="Header"/>
            <w:bidi w:val="0"/>
            <w:ind w:right="-115"/>
            <w:jc w:val="right"/>
          </w:pPr>
        </w:p>
      </w:tc>
    </w:tr>
  </w:tbl>
  <w:p w:rsidR="3E302A46" w:rsidP="3E302A46" w:rsidRDefault="3E302A46" w14:paraId="36A2A8D6" w14:textId="1F50BE0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65"/>
      <w:gridCol w:w="3076"/>
      <w:gridCol w:w="3119"/>
    </w:tblGrid>
    <w:tr w:rsidR="3E302A46" w:rsidTr="3E302A46" w14:paraId="4BE52235">
      <w:trPr>
        <w:trHeight w:val="300"/>
      </w:trPr>
      <w:tc>
        <w:tcPr>
          <w:tcW w:w="3165" w:type="dxa"/>
          <w:tcMar/>
        </w:tcPr>
        <w:p w:rsidR="3E302A46" w:rsidP="3E302A46" w:rsidRDefault="3E302A46" w14:paraId="7CFD6E7C" w14:textId="7C49E9AE">
          <w:pPr>
            <w:pStyle w:val="Header"/>
            <w:bidi w:val="0"/>
            <w:ind w:left="-115"/>
            <w:jc w:val="left"/>
          </w:pPr>
          <w:r>
            <w:drawing>
              <wp:inline wp14:editId="28F1FF10" wp14:anchorId="6CE79F48">
                <wp:extent cx="1885950" cy="403532"/>
                <wp:effectExtent l="0" t="0" r="0" b="0"/>
                <wp:docPr id="102654653" name="" title=""/>
                <wp:cNvGraphicFramePr>
                  <a:graphicFrameLocks noChangeAspect="1"/>
                </wp:cNvGraphicFramePr>
                <a:graphic>
                  <a:graphicData uri="http://schemas.openxmlformats.org/drawingml/2006/picture">
                    <pic:pic>
                      <pic:nvPicPr>
                        <pic:cNvPr id="0" name=""/>
                        <pic:cNvPicPr/>
                      </pic:nvPicPr>
                      <pic:blipFill>
                        <a:blip r:embed="Rf5e9ca4209b04154">
                          <a:extLst>
                            <a:ext xmlns:a="http://schemas.openxmlformats.org/drawingml/2006/main" uri="{28A0092B-C50C-407E-A947-70E740481C1C}">
                              <a14:useLocalDpi val="0"/>
                            </a:ext>
                          </a:extLst>
                        </a:blip>
                        <a:srcRect l="0" t="27906" r="0" b="34208"/>
                        <a:stretch>
                          <a:fillRect/>
                        </a:stretch>
                      </pic:blipFill>
                      <pic:spPr>
                        <a:xfrm>
                          <a:off x="0" y="0"/>
                          <a:ext cx="1885950" cy="403532"/>
                        </a:xfrm>
                        <a:prstGeom prst="rect">
                          <a:avLst/>
                        </a:prstGeom>
                      </pic:spPr>
                    </pic:pic>
                  </a:graphicData>
                </a:graphic>
              </wp:inline>
            </w:drawing>
          </w:r>
        </w:p>
      </w:tc>
      <w:tc>
        <w:tcPr>
          <w:tcW w:w="3076" w:type="dxa"/>
          <w:tcMar/>
        </w:tcPr>
        <w:p w:rsidR="3E302A46" w:rsidP="3E302A46" w:rsidRDefault="3E302A46" w14:paraId="69BDA874" w14:textId="7E830E4A">
          <w:pPr>
            <w:pStyle w:val="Header"/>
            <w:jc w:val="center"/>
          </w:pPr>
        </w:p>
      </w:tc>
      <w:tc>
        <w:tcPr>
          <w:tcW w:w="3119" w:type="dxa"/>
          <w:tcMar/>
        </w:tcPr>
        <w:p w:rsidR="3E302A46" w:rsidP="3E302A46" w:rsidRDefault="3E302A46" w14:paraId="38228774" w14:textId="2800E77F">
          <w:pPr>
            <w:pStyle w:val="Header"/>
            <w:ind w:right="-115"/>
            <w:jc w:val="right"/>
          </w:pPr>
          <w:r>
            <w:drawing>
              <wp:inline wp14:editId="1172695B" wp14:anchorId="52970270">
                <wp:extent cx="1762125" cy="457475"/>
                <wp:effectExtent l="0" t="0" r="0" b="0"/>
                <wp:docPr id="206237757" name="" title=""/>
                <wp:cNvGraphicFramePr>
                  <a:graphicFrameLocks noChangeAspect="1"/>
                </wp:cNvGraphicFramePr>
                <a:graphic>
                  <a:graphicData uri="http://schemas.openxmlformats.org/drawingml/2006/picture">
                    <pic:pic>
                      <pic:nvPicPr>
                        <pic:cNvPr id="0" name=""/>
                        <pic:cNvPicPr/>
                      </pic:nvPicPr>
                      <pic:blipFill>
                        <a:blip r:embed="R0099544e115b4d48">
                          <a:extLst>
                            <a:ext xmlns:a="http://schemas.openxmlformats.org/drawingml/2006/main" uri="{28A0092B-C50C-407E-A947-70E740481C1C}">
                              <a14:useLocalDpi val="0"/>
                            </a:ext>
                          </a:extLst>
                        </a:blip>
                        <a:stretch>
                          <a:fillRect/>
                        </a:stretch>
                      </pic:blipFill>
                      <pic:spPr>
                        <a:xfrm>
                          <a:off x="0" y="0"/>
                          <a:ext cx="1762125" cy="457475"/>
                        </a:xfrm>
                        <a:prstGeom prst="rect">
                          <a:avLst/>
                        </a:prstGeom>
                      </pic:spPr>
                    </pic:pic>
                  </a:graphicData>
                </a:graphic>
              </wp:inline>
            </w:drawing>
          </w:r>
        </w:p>
        <w:p w:rsidR="3E302A46" w:rsidP="3E302A46" w:rsidRDefault="3E302A46" w14:paraId="200AB64C" w14:textId="29C4BDBE">
          <w:pPr>
            <w:pStyle w:val="Header"/>
            <w:ind w:right="-115"/>
            <w:jc w:val="right"/>
          </w:pPr>
        </w:p>
      </w:tc>
    </w:tr>
  </w:tbl>
  <w:p w:rsidR="3E302A46" w:rsidP="3E302A46" w:rsidRDefault="3E302A46" w14:paraId="6D624814" w14:textId="5B7E36B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589075089">
    <w:abstractNumId w:val="8"/>
  </w:num>
  <w:num w:numId="2" w16cid:durableId="168060895">
    <w:abstractNumId w:val="6"/>
  </w:num>
  <w:num w:numId="3" w16cid:durableId="581917643">
    <w:abstractNumId w:val="5"/>
  </w:num>
  <w:num w:numId="4" w16cid:durableId="1352485777">
    <w:abstractNumId w:val="4"/>
  </w:num>
  <w:num w:numId="5" w16cid:durableId="738329182">
    <w:abstractNumId w:val="7"/>
  </w:num>
  <w:num w:numId="6" w16cid:durableId="1244341623">
    <w:abstractNumId w:val="3"/>
  </w:num>
  <w:num w:numId="7" w16cid:durableId="700939107">
    <w:abstractNumId w:val="2"/>
  </w:num>
  <w:num w:numId="8" w16cid:durableId="1286497839">
    <w:abstractNumId w:val="1"/>
  </w:num>
  <w:num w:numId="9" w16cid:durableId="9696312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C17E8"/>
    <w:rsid w:val="00B47730"/>
    <w:rsid w:val="00CB0664"/>
    <w:rsid w:val="00D87B81"/>
    <w:rsid w:val="00F9378E"/>
    <w:rsid w:val="00FC693F"/>
    <w:rsid w:val="2585BB2B"/>
    <w:rsid w:val="329090D3"/>
    <w:rsid w:val="3E302A46"/>
    <w:rsid w:val="4DEFC260"/>
    <w:rsid w:val="511CDB9D"/>
    <w:rsid w:val="599BF468"/>
    <w:rsid w:val="5CF5A6E5"/>
    <w:rsid w:val="63F45303"/>
    <w:rsid w:val="7435FC16"/>
    <w:rsid w:val="7692A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76047"/>
  <w14:defaultImageDpi w14:val="300"/>
  <w15:docId w15:val="{05239981-9F0B-49A7-8FDB-A023EECB15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8eeb9fb63fc14879" /><Relationship Type="http://schemas.openxmlformats.org/officeDocument/2006/relationships/footer" Target="footer.xml" Id="Rd31bd490df1442af" /></Relationships>
</file>

<file path=word/_rels/header.xml.rels>&#65279;<?xml version="1.0" encoding="utf-8"?><Relationships xmlns="http://schemas.openxmlformats.org/package/2006/relationships"><Relationship Type="http://schemas.openxmlformats.org/officeDocument/2006/relationships/image" Target="/media/image2.png" Id="Rf5e9ca4209b04154" /><Relationship Type="http://schemas.openxmlformats.org/officeDocument/2006/relationships/image" Target="/media/image3.png" Id="R0099544e115b4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Mirka Arevalo</lastModifiedBy>
  <revision>12</revision>
  <dcterms:created xsi:type="dcterms:W3CDTF">2024-08-26T19:50:00.0000000Z</dcterms:created>
  <dcterms:modified xsi:type="dcterms:W3CDTF">2024-09-09T20:02:39.8856432Z</dcterms:modified>
  <category/>
</coreProperties>
</file>